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74A96" w:rsidRPr="003C7004">
        <w:rPr>
          <w:sz w:val="28"/>
          <w:szCs w:val="28"/>
        </w:rPr>
        <w:t>Spielwürfel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74A96" w:rsidTr="00C74A96">
        <w:tc>
          <w:tcPr>
            <w:tcW w:w="2466" w:type="dxa"/>
            <w:vAlign w:val="center"/>
          </w:tcPr>
          <w:p w:rsidR="00C74A96" w:rsidRPr="00A069A7" w:rsidRDefault="00C74A96" w:rsidP="00C14828">
            <w:pPr>
              <w:pStyle w:val="IQB-Merkmal"/>
            </w:pPr>
            <w:r w:rsidRPr="00A069A7">
              <w:t>Leitidee</w:t>
            </w:r>
          </w:p>
        </w:tc>
        <w:tc>
          <w:tcPr>
            <w:tcW w:w="6604" w:type="dxa"/>
          </w:tcPr>
          <w:p w:rsidR="00C74A96" w:rsidRPr="00A069A7" w:rsidRDefault="00C74A96" w:rsidP="00C14828">
            <w:pPr>
              <w:pStyle w:val="IQB-Merkmalswert"/>
              <w:rPr>
                <w:sz w:val="22"/>
                <w:szCs w:val="22"/>
              </w:rPr>
            </w:pPr>
            <w:r w:rsidRPr="00A069A7">
              <w:rPr>
                <w:sz w:val="22"/>
                <w:szCs w:val="22"/>
              </w:rPr>
              <w:t>Daten und Zufall (L5)</w:t>
            </w:r>
          </w:p>
        </w:tc>
      </w:tr>
      <w:tr w:rsidR="00C74A96" w:rsidTr="00C74A96">
        <w:tc>
          <w:tcPr>
            <w:tcW w:w="2466" w:type="dxa"/>
            <w:vAlign w:val="center"/>
          </w:tcPr>
          <w:p w:rsidR="00C74A96" w:rsidRPr="00A069A7" w:rsidRDefault="00C74A96" w:rsidP="00C14828">
            <w:pPr>
              <w:pStyle w:val="IQB-Merkmal"/>
            </w:pPr>
            <w:r w:rsidRPr="00A069A7">
              <w:t>Allgemeine Kompetenzen</w:t>
            </w:r>
          </w:p>
        </w:tc>
        <w:tc>
          <w:tcPr>
            <w:tcW w:w="6604" w:type="dxa"/>
          </w:tcPr>
          <w:p w:rsidR="00C74A96" w:rsidRPr="00A069A7" w:rsidRDefault="00C74A96" w:rsidP="00C14828">
            <w:pPr>
              <w:pStyle w:val="IQB-Merkmalswert"/>
              <w:rPr>
                <w:sz w:val="22"/>
                <w:szCs w:val="22"/>
              </w:rPr>
            </w:pPr>
            <w:r w:rsidRPr="00A069A7">
              <w:rPr>
                <w:sz w:val="22"/>
                <w:szCs w:val="22"/>
              </w:rPr>
              <w:t>Mathematisch modellieren (K3)</w:t>
            </w:r>
          </w:p>
        </w:tc>
      </w:tr>
      <w:tr w:rsidR="00C74A96" w:rsidTr="00C74A96">
        <w:tc>
          <w:tcPr>
            <w:tcW w:w="2466" w:type="dxa"/>
            <w:vAlign w:val="center"/>
          </w:tcPr>
          <w:p w:rsidR="00C74A96" w:rsidRPr="00A069A7" w:rsidRDefault="00C74A96" w:rsidP="00C14828">
            <w:pPr>
              <w:pStyle w:val="IQB-Merkmal"/>
            </w:pPr>
            <w:r w:rsidRPr="00A069A7">
              <w:t>Anforderungsbereich</w:t>
            </w:r>
          </w:p>
        </w:tc>
        <w:tc>
          <w:tcPr>
            <w:tcW w:w="6604" w:type="dxa"/>
          </w:tcPr>
          <w:p w:rsidR="00C74A96" w:rsidRPr="00A069A7" w:rsidRDefault="00C74A96" w:rsidP="00C14828">
            <w:pPr>
              <w:pStyle w:val="IQB-Merkmalswert"/>
              <w:rPr>
                <w:sz w:val="22"/>
                <w:szCs w:val="22"/>
              </w:rPr>
            </w:pPr>
            <w:r w:rsidRPr="00A069A7">
              <w:rPr>
                <w:sz w:val="22"/>
                <w:szCs w:val="22"/>
              </w:rPr>
              <w:t>I</w:t>
            </w:r>
          </w:p>
        </w:tc>
      </w:tr>
      <w:tr w:rsidR="00C74A96" w:rsidTr="00C74A96">
        <w:tc>
          <w:tcPr>
            <w:tcW w:w="2466" w:type="dxa"/>
            <w:vAlign w:val="center"/>
          </w:tcPr>
          <w:p w:rsidR="00C74A96" w:rsidRPr="00A069A7" w:rsidRDefault="00C74A96" w:rsidP="00C14828">
            <w:pPr>
              <w:pStyle w:val="IQB-Merkmal"/>
            </w:pPr>
            <w:r w:rsidRPr="00A069A7">
              <w:t>Kompetenzstufe</w:t>
            </w:r>
          </w:p>
        </w:tc>
        <w:tc>
          <w:tcPr>
            <w:tcW w:w="6604" w:type="dxa"/>
          </w:tcPr>
          <w:p w:rsidR="00C74A96" w:rsidRPr="00A069A7" w:rsidRDefault="00C74A96" w:rsidP="00C14828">
            <w:pPr>
              <w:pStyle w:val="IQB-Merkmalswert"/>
              <w:rPr>
                <w:sz w:val="22"/>
                <w:szCs w:val="22"/>
              </w:rPr>
            </w:pPr>
            <w:r w:rsidRPr="00A069A7">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74A96" w:rsidTr="00C74A96">
        <w:tc>
          <w:tcPr>
            <w:tcW w:w="2466" w:type="dxa"/>
            <w:vAlign w:val="center"/>
          </w:tcPr>
          <w:p w:rsidR="00C74A96" w:rsidRPr="00A069A7" w:rsidRDefault="00C74A96" w:rsidP="00C14828">
            <w:pPr>
              <w:pStyle w:val="IQB-Merkmal"/>
            </w:pPr>
            <w:r w:rsidRPr="00A069A7">
              <w:t>Leitidee</w:t>
            </w:r>
          </w:p>
        </w:tc>
        <w:tc>
          <w:tcPr>
            <w:tcW w:w="6604" w:type="dxa"/>
          </w:tcPr>
          <w:p w:rsidR="00C74A96" w:rsidRPr="00A069A7" w:rsidRDefault="00C74A96" w:rsidP="00C14828">
            <w:pPr>
              <w:pStyle w:val="IQB-Merkmalswert"/>
              <w:rPr>
                <w:sz w:val="22"/>
                <w:szCs w:val="22"/>
              </w:rPr>
            </w:pPr>
            <w:r w:rsidRPr="00A069A7">
              <w:rPr>
                <w:sz w:val="22"/>
                <w:szCs w:val="22"/>
              </w:rPr>
              <w:t>Daten und Zufall (L5)</w:t>
            </w:r>
          </w:p>
        </w:tc>
      </w:tr>
      <w:tr w:rsidR="00C74A96" w:rsidTr="00C74A96">
        <w:tc>
          <w:tcPr>
            <w:tcW w:w="2466" w:type="dxa"/>
            <w:vAlign w:val="center"/>
          </w:tcPr>
          <w:p w:rsidR="00C74A96" w:rsidRPr="00A069A7" w:rsidRDefault="00C74A96" w:rsidP="00C14828">
            <w:pPr>
              <w:pStyle w:val="IQB-Merkmal"/>
            </w:pPr>
            <w:r w:rsidRPr="00A069A7">
              <w:t>Allgemeine Kompetenzen</w:t>
            </w:r>
          </w:p>
        </w:tc>
        <w:tc>
          <w:tcPr>
            <w:tcW w:w="6604" w:type="dxa"/>
          </w:tcPr>
          <w:p w:rsidR="00C74A96" w:rsidRDefault="00C74A96" w:rsidP="00C14828">
            <w:pPr>
              <w:pStyle w:val="IQB-Merkmalswert"/>
              <w:rPr>
                <w:sz w:val="22"/>
                <w:szCs w:val="22"/>
              </w:rPr>
            </w:pPr>
            <w:r>
              <w:rPr>
                <w:sz w:val="22"/>
                <w:szCs w:val="22"/>
              </w:rPr>
              <w:t>Mathematisch modellieren (K3)</w:t>
            </w:r>
          </w:p>
          <w:p w:rsidR="00C74A96" w:rsidRPr="00A069A7" w:rsidRDefault="00C74A96" w:rsidP="00C14828">
            <w:pPr>
              <w:pStyle w:val="IQB-Merkmalswert"/>
              <w:rPr>
                <w:sz w:val="22"/>
                <w:szCs w:val="22"/>
              </w:rPr>
            </w:pPr>
            <w:r w:rsidRPr="00A069A7">
              <w:rPr>
                <w:sz w:val="22"/>
                <w:szCs w:val="22"/>
              </w:rPr>
              <w:t>Mathematisch kommunizieren (K6)</w:t>
            </w:r>
          </w:p>
        </w:tc>
      </w:tr>
      <w:tr w:rsidR="00C74A96" w:rsidTr="00C74A96">
        <w:tc>
          <w:tcPr>
            <w:tcW w:w="2466" w:type="dxa"/>
            <w:vAlign w:val="center"/>
          </w:tcPr>
          <w:p w:rsidR="00C74A96" w:rsidRPr="00A069A7" w:rsidRDefault="00C74A96" w:rsidP="00C14828">
            <w:pPr>
              <w:pStyle w:val="IQB-Merkmal"/>
            </w:pPr>
            <w:r w:rsidRPr="00A069A7">
              <w:t>Anforderungsbereich</w:t>
            </w:r>
          </w:p>
        </w:tc>
        <w:tc>
          <w:tcPr>
            <w:tcW w:w="6604" w:type="dxa"/>
          </w:tcPr>
          <w:p w:rsidR="00C74A96" w:rsidRPr="00A069A7" w:rsidRDefault="00C74A96" w:rsidP="00C14828">
            <w:pPr>
              <w:pStyle w:val="IQB-Merkmalswert"/>
              <w:rPr>
                <w:sz w:val="22"/>
                <w:szCs w:val="22"/>
              </w:rPr>
            </w:pPr>
            <w:r w:rsidRPr="00A069A7">
              <w:rPr>
                <w:sz w:val="22"/>
                <w:szCs w:val="22"/>
              </w:rPr>
              <w:t>III</w:t>
            </w:r>
          </w:p>
        </w:tc>
      </w:tr>
      <w:tr w:rsidR="00C74A96" w:rsidTr="00C74A96">
        <w:tc>
          <w:tcPr>
            <w:tcW w:w="2466" w:type="dxa"/>
            <w:vAlign w:val="center"/>
          </w:tcPr>
          <w:p w:rsidR="00C74A96" w:rsidRPr="00A069A7" w:rsidRDefault="00C74A96" w:rsidP="00C14828">
            <w:pPr>
              <w:pStyle w:val="IQB-Merkmal"/>
            </w:pPr>
            <w:r w:rsidRPr="00A069A7">
              <w:t>Kompetenzstufe</w:t>
            </w:r>
          </w:p>
        </w:tc>
        <w:tc>
          <w:tcPr>
            <w:tcW w:w="6604" w:type="dxa"/>
          </w:tcPr>
          <w:p w:rsidR="00C74A96" w:rsidRPr="00A069A7" w:rsidRDefault="00C74A96" w:rsidP="00C14828">
            <w:pPr>
              <w:pStyle w:val="IQB-Merkmalswert"/>
              <w:rPr>
                <w:sz w:val="22"/>
                <w:szCs w:val="22"/>
              </w:rPr>
            </w:pPr>
            <w:r w:rsidRPr="00A069A7">
              <w:rPr>
                <w:sz w:val="22"/>
                <w:szCs w:val="22"/>
              </w:rPr>
              <w:t>2</w:t>
            </w:r>
          </w:p>
        </w:tc>
      </w:tr>
    </w:tbl>
    <w:p w:rsidR="00694A63" w:rsidRPr="00694A63" w:rsidRDefault="00694A63" w:rsidP="00694A63">
      <w:pPr>
        <w:pStyle w:val="IQB-Teilaufgabentitel"/>
        <w:rPr>
          <w:b/>
        </w:rPr>
      </w:pPr>
      <w:r w:rsidRPr="00694A63">
        <w:rPr>
          <w:b/>
        </w:rPr>
        <w:t>Aufgabenbezogener Kommentar</w:t>
      </w:r>
    </w:p>
    <w:p w:rsidR="00C74A96" w:rsidRPr="00C74A96" w:rsidRDefault="00C74A96" w:rsidP="00C74A96">
      <w:pPr>
        <w:jc w:val="both"/>
        <w:rPr>
          <w:rFonts w:ascii="Arial" w:hAnsi="Arial"/>
          <w:sz w:val="22"/>
          <w:szCs w:val="22"/>
        </w:rPr>
      </w:pPr>
      <w:r w:rsidRPr="00C74A96">
        <w:rPr>
          <w:rFonts w:ascii="Arial" w:hAnsi="Arial"/>
          <w:sz w:val="22"/>
          <w:szCs w:val="22"/>
        </w:rPr>
        <w:t xml:space="preserve">Die Aufgabe „Spielwürfel“ handelt von der Laplace-Wahrscheinlichkeit eines 20-seitigen Würfels. Somit gehört die Aufgabe zur Leitidee </w:t>
      </w:r>
      <w:r w:rsidRPr="00C74A96">
        <w:rPr>
          <w:rFonts w:ascii="Arial" w:hAnsi="Arial"/>
          <w:i/>
          <w:sz w:val="22"/>
          <w:szCs w:val="22"/>
        </w:rPr>
        <w:t>Daten und Zufall</w:t>
      </w:r>
      <w:r w:rsidRPr="00C74A96">
        <w:rPr>
          <w:rFonts w:ascii="Arial" w:hAnsi="Arial"/>
          <w:sz w:val="22"/>
          <w:szCs w:val="22"/>
        </w:rPr>
        <w:t> (L5).</w:t>
      </w:r>
    </w:p>
    <w:p w:rsidR="00C74A96" w:rsidRPr="00C74A96" w:rsidRDefault="00C74A96" w:rsidP="00C74A96">
      <w:pPr>
        <w:jc w:val="both"/>
        <w:rPr>
          <w:rFonts w:ascii="Arial" w:hAnsi="Arial"/>
          <w:sz w:val="22"/>
          <w:szCs w:val="22"/>
        </w:rPr>
      </w:pPr>
    </w:p>
    <w:p w:rsidR="00C74A96" w:rsidRPr="00C74A96" w:rsidRDefault="00C74A96" w:rsidP="00C74A96">
      <w:pPr>
        <w:jc w:val="both"/>
        <w:rPr>
          <w:rFonts w:ascii="Arial" w:hAnsi="Arial"/>
          <w:sz w:val="22"/>
          <w:szCs w:val="22"/>
        </w:rPr>
      </w:pPr>
      <w:r w:rsidRPr="00C74A96">
        <w:rPr>
          <w:rFonts w:ascii="Arial" w:hAnsi="Arial"/>
          <w:sz w:val="22"/>
          <w:szCs w:val="22"/>
        </w:rPr>
        <w:t xml:space="preserve">In beiden Teilaufgaben arbeiten Schülerinnen und Schüler mit dem Laplace-Modell für Wahrscheinlichkeiten, weshalb in beiden Teilaufgaben die Kompetenz </w:t>
      </w:r>
      <w:r w:rsidRPr="00C74A96">
        <w:rPr>
          <w:rFonts w:ascii="Arial" w:hAnsi="Arial"/>
          <w:i/>
          <w:sz w:val="22"/>
          <w:szCs w:val="22"/>
        </w:rPr>
        <w:t>Mathematisch modellieren</w:t>
      </w:r>
      <w:r w:rsidRPr="00C74A96">
        <w:rPr>
          <w:rFonts w:ascii="Arial" w:hAnsi="Arial"/>
          <w:sz w:val="22"/>
          <w:szCs w:val="22"/>
        </w:rPr>
        <w:t xml:space="preserve"> (K3) vorausgesetzt wird. In Teilaufgabe 2 wird zusätzlich verlangt, Aussagen zu bewerten. Daher wird hier ergänzend die Kompetenz </w:t>
      </w:r>
      <w:r w:rsidRPr="00C74A96">
        <w:rPr>
          <w:rFonts w:ascii="Arial" w:hAnsi="Arial"/>
          <w:i/>
          <w:sz w:val="22"/>
          <w:szCs w:val="22"/>
        </w:rPr>
        <w:t>Mathematisch kommunizieren</w:t>
      </w:r>
      <w:r w:rsidRPr="00C74A96">
        <w:rPr>
          <w:rFonts w:ascii="Arial" w:hAnsi="Arial"/>
          <w:sz w:val="22"/>
          <w:szCs w:val="22"/>
        </w:rPr>
        <w:t> (K6) verlangt.</w:t>
      </w:r>
    </w:p>
    <w:p w:rsidR="00C74A96" w:rsidRPr="00C74A96" w:rsidRDefault="00C74A96" w:rsidP="00C74A96">
      <w:pPr>
        <w:jc w:val="both"/>
        <w:rPr>
          <w:rFonts w:ascii="Arial" w:hAnsi="Arial"/>
          <w:sz w:val="22"/>
          <w:szCs w:val="22"/>
        </w:rPr>
      </w:pPr>
    </w:p>
    <w:p w:rsidR="00C74A96" w:rsidRPr="00C74A96" w:rsidRDefault="00C74A96" w:rsidP="00C74A96">
      <w:pPr>
        <w:jc w:val="both"/>
        <w:rPr>
          <w:rFonts w:ascii="Arial" w:hAnsi="Arial"/>
          <w:sz w:val="22"/>
          <w:szCs w:val="22"/>
        </w:rPr>
      </w:pPr>
      <w:r w:rsidRPr="00C74A96">
        <w:rPr>
          <w:rFonts w:ascii="Arial" w:hAnsi="Arial"/>
          <w:sz w:val="22"/>
          <w:szCs w:val="22"/>
        </w:rPr>
        <w:t>In Teilaufgabe 1 wird das vertraute und direkt erkennbare Laplace-Modell verwendet. Daher bewegt sich diese Teilaufgabe im Anforderungsbereich I. In Teilaufgabe 2 werden Äußerungen von</w:t>
      </w:r>
    </w:p>
    <w:p w:rsidR="00C74A96" w:rsidRPr="00C74A96" w:rsidRDefault="00C74A96" w:rsidP="00C74A96">
      <w:pPr>
        <w:jc w:val="both"/>
        <w:rPr>
          <w:rFonts w:ascii="Arial" w:hAnsi="Arial"/>
          <w:sz w:val="22"/>
          <w:szCs w:val="22"/>
        </w:rPr>
      </w:pPr>
      <w:r w:rsidRPr="00C74A96">
        <w:rPr>
          <w:rFonts w:ascii="Arial" w:hAnsi="Arial"/>
          <w:sz w:val="22"/>
          <w:szCs w:val="22"/>
        </w:rPr>
        <w:t>anderen zu mathematischen Inhalten bewertet. Daher befindet sich diese Teilaufgabe im Anforderungsbereich III.</w:t>
      </w:r>
    </w:p>
    <w:p w:rsidR="00694A63" w:rsidRPr="00694A63" w:rsidRDefault="00694A63" w:rsidP="00694A63">
      <w:pPr>
        <w:pStyle w:val="IQB-Teilaufgabentitel"/>
        <w:rPr>
          <w:b/>
        </w:rPr>
      </w:pPr>
      <w:r w:rsidRPr="00694A63">
        <w:rPr>
          <w:b/>
        </w:rPr>
        <w:t>Anregungen für den Unterricht</w:t>
      </w:r>
    </w:p>
    <w:p w:rsidR="00C74A96" w:rsidRPr="00C74A96" w:rsidRDefault="00C74A96" w:rsidP="00C74A96">
      <w:pPr>
        <w:jc w:val="both"/>
        <w:rPr>
          <w:rFonts w:ascii="Arial" w:hAnsi="Arial"/>
          <w:sz w:val="22"/>
          <w:szCs w:val="22"/>
        </w:rPr>
      </w:pPr>
      <w:r w:rsidRPr="00C74A96">
        <w:rPr>
          <w:rFonts w:ascii="Arial" w:hAnsi="Arial"/>
          <w:sz w:val="22"/>
          <w:szCs w:val="22"/>
        </w:rPr>
        <w:t xml:space="preserve">In der Aufgabe „Spielwürfel“ betrachten Schülerinnen und Schüler faire Spielwürfel, insbesondere einen 20-seitigen fairen Spielwürfel. Wenn alle Seitenflächen unterschiedlich beschriftet sind, können die fünf platonischen Körper als faire Spielwürfel dienen. Ein Spielwürfel ist somit begrifflich vom Würfel, wie er in der Mathematik verstanden wird, unterschieden. Es gibt also verschiedene Spielwürfel, jedoch nur einen Würfel im mathematischen Sinne. Im Unterricht können Schülerinnen und Schüler Überlegungen dazu anstellen, welche Eigenschaften ein Körper haben muss, damit er als fairer Spielwürfel genutzt werden kann. Auf diese Weise können einige Eigenschaften von platonischen Körpern hergeleitet werden. Im Unterricht können beispielsweise Modelle von platonischen Körpern gezeigt und Modellen von anderen archimedischen Körpern, aber auch Quadern, Pyramiden usw. gegenübergestellt werden. Schülerinnen und Schüler sollen dann diejenigen Körper auswählen, welche als faire Spielwürfel dienen können. Hiernach beschreiben sie die Eigenschaften der von ihnen ausgesuchten Körper. Vermutlich „sehen“ Schülerinnen und Schüler, dass alle Seitenflächen des Körpers kongruent zueinander, alle Kanten des Körpers gleich lang und die Seitenflächen regelmäßig sein müssen. Platonische Körper zeichnen sich durch die größtmögliche Symmetrie aus. Auch auf diese zentrale Eigenschaft kann im Unterricht eingegangen werden. </w:t>
      </w:r>
    </w:p>
    <w:p w:rsidR="00C74A96" w:rsidRPr="00C74A96" w:rsidRDefault="00C74A96" w:rsidP="00C74A96">
      <w:pPr>
        <w:jc w:val="both"/>
        <w:rPr>
          <w:rFonts w:ascii="Arial" w:hAnsi="Arial"/>
          <w:sz w:val="22"/>
          <w:szCs w:val="22"/>
        </w:rPr>
      </w:pPr>
    </w:p>
    <w:p w:rsidR="00C74A96" w:rsidRPr="00C74A96" w:rsidRDefault="00C74A96" w:rsidP="00C74A96">
      <w:pPr>
        <w:jc w:val="both"/>
        <w:rPr>
          <w:rFonts w:ascii="Arial" w:hAnsi="Arial"/>
          <w:sz w:val="22"/>
          <w:szCs w:val="22"/>
        </w:rPr>
      </w:pPr>
      <w:r w:rsidRPr="00C74A96">
        <w:rPr>
          <w:rFonts w:ascii="Arial" w:hAnsi="Arial"/>
          <w:sz w:val="22"/>
          <w:szCs w:val="22"/>
        </w:rPr>
        <w:t>Hier wird von der gesuchten Wahrscheinlichkeit ausgegangen und ein geeigneter Körper gesucht. Den Ausgangspunkt bildet also das Laplace-Modell der Wahrscheinlichkeit. Bleibt man beim Laplace-Modell der Wahrscheinlichkeit, eignen sich faire Spielwürfel bzw. platonische Körper gut dafür, Baumdiagramme und Pfadregeln einzuführen, um die Wahrscheinlichkeit von Ereignissen mehrstufiger Zufallsprozesse bestimmen zu können.</w:t>
      </w:r>
    </w:p>
    <w:p w:rsidR="00C74A96" w:rsidRPr="00C74A96" w:rsidRDefault="00C74A96" w:rsidP="00C74A96">
      <w:pPr>
        <w:jc w:val="both"/>
        <w:rPr>
          <w:rFonts w:ascii="Arial" w:hAnsi="Arial"/>
          <w:sz w:val="22"/>
          <w:szCs w:val="22"/>
        </w:rPr>
      </w:pPr>
    </w:p>
    <w:p w:rsidR="00C74A96" w:rsidRPr="00C74A96" w:rsidRDefault="00C74A96" w:rsidP="00C74A96">
      <w:pPr>
        <w:jc w:val="both"/>
        <w:rPr>
          <w:rFonts w:ascii="Arial" w:hAnsi="Arial"/>
          <w:sz w:val="22"/>
          <w:szCs w:val="22"/>
        </w:rPr>
      </w:pPr>
      <w:r w:rsidRPr="00C74A96">
        <w:rPr>
          <w:rFonts w:ascii="Arial" w:hAnsi="Arial"/>
          <w:sz w:val="22"/>
          <w:szCs w:val="22"/>
        </w:rPr>
        <w:lastRenderedPageBreak/>
        <w:t xml:space="preserve">Es kann jedoch auch umgekehrt vorgegangen und versucht werden, die Wahrscheinlichkeit für eine bestimmte Seitenfläche eines Körpers zu bestimmen. Dieses Vorgehen evoziert den </w:t>
      </w:r>
      <w:proofErr w:type="spellStart"/>
      <w:r w:rsidRPr="00C74A96">
        <w:rPr>
          <w:rFonts w:ascii="Arial" w:hAnsi="Arial"/>
          <w:sz w:val="22"/>
          <w:szCs w:val="22"/>
        </w:rPr>
        <w:t>frequentistischen</w:t>
      </w:r>
      <w:proofErr w:type="spellEnd"/>
      <w:r w:rsidRPr="00C74A96">
        <w:rPr>
          <w:rFonts w:ascii="Arial" w:hAnsi="Arial"/>
          <w:sz w:val="22"/>
          <w:szCs w:val="22"/>
        </w:rPr>
        <w:t xml:space="preserve"> Wahrscheinlichkeitsbegriff, bei dem aus der relativen Häufigkeit von Ergebnissen oder Ereignissen auf deren Wahrscheinlichkeit geschlossen wird. Hierfür können auch völlig unsymmetrische Objekte wie Reißnägel oder Knöpfe verwendet werden. Jedoch besteht bei der isolierten Betrachtung völlig symmetrischer Objekte (platonische Körper) auf der einen Seite und völlig unsymmetrische Objekte auf der anderen Seite die Gefahr, dass Schülerinnen und Schüler den Eindruck bekommen, eine Wahrscheinlichkeit ließe sich entweder exakt vorhersagen (Laplace’sche Wahrscheinlichkeit) oder sie sei nur durch ausprobieren zu ermitteln (</w:t>
      </w:r>
      <w:proofErr w:type="spellStart"/>
      <w:r w:rsidRPr="00C74A96">
        <w:rPr>
          <w:rFonts w:ascii="Arial" w:hAnsi="Arial"/>
          <w:sz w:val="22"/>
          <w:szCs w:val="22"/>
        </w:rPr>
        <w:t>frequentistische</w:t>
      </w:r>
      <w:proofErr w:type="spellEnd"/>
      <w:r w:rsidRPr="00C74A96">
        <w:rPr>
          <w:rFonts w:ascii="Arial" w:hAnsi="Arial"/>
          <w:sz w:val="22"/>
          <w:szCs w:val="22"/>
        </w:rPr>
        <w:t xml:space="preserve"> Wahrscheinlichkeit).</w:t>
      </w:r>
    </w:p>
    <w:p w:rsidR="00C74A96" w:rsidRPr="00C74A96" w:rsidRDefault="00C74A96" w:rsidP="00C74A96">
      <w:pPr>
        <w:jc w:val="both"/>
        <w:rPr>
          <w:rFonts w:ascii="Arial" w:hAnsi="Arial"/>
          <w:sz w:val="22"/>
          <w:szCs w:val="22"/>
        </w:rPr>
      </w:pPr>
    </w:p>
    <w:p w:rsidR="00C74A96" w:rsidRPr="00C74A96" w:rsidRDefault="00C74A96" w:rsidP="00C74A96">
      <w:pPr>
        <w:jc w:val="both"/>
        <w:rPr>
          <w:rFonts w:ascii="Arial" w:hAnsi="Arial"/>
          <w:sz w:val="22"/>
          <w:szCs w:val="22"/>
        </w:rPr>
      </w:pPr>
      <w:r w:rsidRPr="00C74A96">
        <w:rPr>
          <w:rFonts w:ascii="Arial" w:hAnsi="Arial"/>
          <w:sz w:val="22"/>
          <w:szCs w:val="22"/>
        </w:rPr>
        <w:t>Wolfgang Riemer entwickelte die nach ihm benannten Riemer-Würfel. Dies sind teilweise symmetrische Würfel (z. B. Quader), die die Verbindung beider Vorstellungen des Wahrscheinlichkeitsbegriffs fördern sollen. Die Würfel erlauben es zum einen, schon vor jedem Versuch Prognosen über die relative Häufigkeit eines Ergebnisses zu machen. Zum anderen können im Anschluss daran diese Prognose durch Versuche überprüft werden. Arbeitet man im Unterricht zudem mit verschiedenen Varianten von Riemer-Würfeln, so können weitere Hypothesen getestet werden. Solche Hypothesen können wie folgt lauten: (1) Je größer die Auflagefläche einer Lage, desto „wahrscheinlicher“ ist diese Lage. Der Quotient zweier Wahrscheinlichkeiten ist gleich dem Quotienten aus dem Flächeninhalt zweier Auflageflächen. (2) Je höher der Schwerpunkt, desto „unwahrscheinlicher“ ist diese Lage. Der Quotient zweier Wahrscheinlichkeiten gleicht dem Kehrwert aus dem Quotient der Höhe der Schwerpunkte. Wie Riemer zeigen konnte, liefert eine Mischung aus beiden Annahmen sehr gute Voraussagen (siehe Riemer, W. (1988). Riemer-Würfel. Spannende und lehrreiche Experimente mit ungewöhnlichen Objekten, Stuttgart: Klett, http://www.riemer-koeln.de/mathematik /</w:t>
      </w:r>
      <w:proofErr w:type="spellStart"/>
      <w:r w:rsidRPr="00C74A96">
        <w:rPr>
          <w:rFonts w:ascii="Arial" w:hAnsi="Arial"/>
          <w:sz w:val="22"/>
          <w:szCs w:val="22"/>
        </w:rPr>
        <w:t>quader</w:t>
      </w:r>
      <w:proofErr w:type="spellEnd"/>
      <w:r w:rsidRPr="00C74A96">
        <w:rPr>
          <w:rFonts w:ascii="Arial" w:hAnsi="Arial"/>
          <w:sz w:val="22"/>
          <w:szCs w:val="22"/>
        </w:rPr>
        <w:t>/riemer-wuerfel-klett.pdf).</w:t>
      </w:r>
    </w:p>
    <w:p w:rsidR="00694A63" w:rsidRPr="005B2F65" w:rsidRDefault="00694A63" w:rsidP="00C74A96">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9D7E94F2-E501-4E9B-AFAF-E16548335297}"/>
    <w:embedBold r:id="rId2" w:fontKey="{7D294501-29DB-4A01-9130-CE18E5EB4DE2}"/>
    <w:embedItalic r:id="rId3" w:fontKey="{ACFB6D1F-C6EB-46A4-8355-9FC64E085D70}"/>
    <w:embedBoldItalic r:id="rId4" w:fontKey="{72A990B7-391F-4878-9307-8B5D2A61776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022E3A8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609EEE-E5AC-4206-9934-10503B88A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636</Words>
  <Characters>4561</Characters>
  <Application>Microsoft Office Word</Application>
  <DocSecurity>0</DocSecurity>
  <Lines>77</Lines>
  <Paragraphs>25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2025-07-23T13:12:00Z</dcterms:created>
  <dcterms:modified xsi:type="dcterms:W3CDTF">2025-07-23T13:12:00Z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